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8.6.2016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hd w:fill="ffffff" w:val="clear"/>
        <w:spacing w:after="240" w:before="0" w:line="313.04347826086956" w:lineRule="auto"/>
        <w:contextualSpacing w:val="0"/>
        <w:rPr>
          <w:b w:val="1"/>
          <w:sz w:val="46"/>
          <w:szCs w:val="46"/>
        </w:rPr>
      </w:pPr>
      <w:bookmarkStart w:colFirst="0" w:colLast="0" w:name="_89olperlgrxf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Inovační firma Zlínského kraje 2016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„Soutěž Inovační firma Zlínského kraje vyhlašujeme každé dva roky již od roku 2009. Letos proběhl její pátý ročník, který opět ukázal, že máme v kraji špičkové firmy, které se díky své kreativitě, znalostem a technickým dovednostem dokáží prosadit nejen na domácím, ale i zahraničním trhu,“</w:t>
      </w:r>
      <w:r w:rsidDel="00000000" w:rsidR="00000000" w:rsidRPr="00000000">
        <w:rPr>
          <w:rtl w:val="0"/>
        </w:rPr>
        <w:t xml:space="preserve"> řekl hejtman Zlínského kraje Stanislav Mišák. Organizací soutěže je pověřeno Technologické inovační centrum, jehož zřizovatelem je Zlínský kraj spolu s Univerzitou Tomáše Bati. </w:t>
      </w:r>
      <w:r w:rsidDel="00000000" w:rsidR="00000000" w:rsidRPr="00000000">
        <w:rPr>
          <w:i w:val="1"/>
          <w:rtl w:val="0"/>
        </w:rPr>
        <w:t xml:space="preserve">„Projekt si klade za cíl zviditelnit úspěšné a progresivní firmy z regionu, které díky inovacím získávají velkou konkurenční výhodu a daří se jím prosazovat i na zákaznicky náročných trzích,“</w:t>
      </w:r>
      <w:r w:rsidDel="00000000" w:rsidR="00000000" w:rsidRPr="00000000">
        <w:rPr>
          <w:rtl w:val="0"/>
        </w:rPr>
        <w:t xml:space="preserve">říká ředitelka Technologického inovačního centra Daniela Sobieská. Kromě samotných firem je soutěž otevřená i pro zájmová sdružení, například klastry, které realizují konkrétní inovační aktivity.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Vítěz soutěže - Avex Steel Products s.r.o. (Otrokovice)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Čestné uznání – MESIT aerospace, s.r.o. (Uherské Hradiště)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Čestné uznání – TNS SERVIS s.r.o. (Slušovice)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Účastníci soutěže, kteří se probojovali do užšího finále: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KOMA MODULAR s.r.o. (Vizovice)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60" w:before="1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Parzlich s.r.o. (Hulín)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color w:val="943634"/>
        <w:sz w:val="18"/>
        <w:szCs w:val="18"/>
      </w:rPr>
    </w:pPr>
    <w:r w:rsidDel="00000000" w:rsidR="00000000" w:rsidRPr="00000000">
      <w:rPr>
        <w:color w:val="943634"/>
        <w:sz w:val="18"/>
        <w:szCs w:val="18"/>
        <w:rtl w:val="0"/>
      </w:rPr>
      <w:t xml:space="preserve">Avex Steel Products s.r.o., tř. Tomáše Bati 1656, 76502 Otrokovice, Česká republika, tel.: +420 577 116 311, fax: +420 577 116 317, </w:t>
    </w:r>
    <w:hyperlink r:id="rId1">
      <w:r w:rsidDel="00000000" w:rsidR="00000000" w:rsidRPr="00000000">
        <w:rPr>
          <w:color w:val="980000"/>
          <w:sz w:val="18"/>
          <w:szCs w:val="18"/>
          <w:u w:val="single"/>
          <w:rtl w:val="0"/>
        </w:rPr>
        <w:t xml:space="preserve">info@avexproducts.com</w:t>
      </w:r>
    </w:hyperlink>
    <w:r w:rsidDel="00000000" w:rsidR="00000000" w:rsidRPr="00000000">
      <w:rPr>
        <w:color w:val="943634"/>
        <w:sz w:val="18"/>
        <w:szCs w:val="18"/>
        <w:rtl w:val="0"/>
      </w:rPr>
      <w:t xml:space="preserve">,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 </w:t>
      </w:r>
    </w:hyperlink>
    <w:hyperlink r:id="rId3">
      <w:r w:rsidDel="00000000" w:rsidR="00000000" w:rsidRPr="00000000">
        <w:rPr>
          <w:color w:val="a61c00"/>
          <w:sz w:val="18"/>
          <w:szCs w:val="18"/>
          <w:u w:val="single"/>
          <w:rtl w:val="0"/>
        </w:rPr>
        <w:t xml:space="preserve">www.avexproducts.com</w:t>
      </w:r>
    </w:hyperlink>
    <w:r w:rsidDel="00000000" w:rsidR="00000000" w:rsidRPr="00000000">
      <w:rPr>
        <w:color w:val="943634"/>
        <w:sz w:val="18"/>
        <w:szCs w:val="18"/>
        <w:rtl w:val="0"/>
      </w:rPr>
      <w:t xml:space="preserve">, IČ: 25303279, </w:t>
    </w:r>
  </w:p>
  <w:p w:rsidR="00000000" w:rsidDel="00000000" w:rsidP="00000000" w:rsidRDefault="00000000" w:rsidRPr="00000000">
    <w:pPr>
      <w:contextualSpacing w:val="0"/>
      <w:jc w:val="center"/>
      <w:rPr>
        <w:color w:val="943634"/>
        <w:sz w:val="18"/>
        <w:szCs w:val="18"/>
      </w:rPr>
    </w:pPr>
    <w:r w:rsidDel="00000000" w:rsidR="00000000" w:rsidRPr="00000000">
      <w:rPr>
        <w:color w:val="943634"/>
        <w:sz w:val="18"/>
        <w:szCs w:val="18"/>
        <w:rtl w:val="0"/>
      </w:rPr>
      <w:t xml:space="preserve">OR Krajského soudu v Brně – C23825, bankovní spojení: Citibank Europe, č.ú.: 2053870201/2600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905000" cy="838200"/>
          <wp:effectExtent b="0" l="0" r="0" t="0"/>
          <wp:docPr descr="Avex_logo_web.png" id="1" name="image2.jpg"/>
          <a:graphic>
            <a:graphicData uri="http://schemas.openxmlformats.org/drawingml/2006/picture">
              <pic:pic>
                <pic:nvPicPr>
                  <pic:cNvPr descr="Avex_logo_web.pn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vexproducts.com" TargetMode="External"/><Relationship Id="rId2" Type="http://schemas.openxmlformats.org/officeDocument/2006/relationships/hyperlink" Target="http://www.avexproducts.com" TargetMode="External"/><Relationship Id="rId3" Type="http://schemas.openxmlformats.org/officeDocument/2006/relationships/hyperlink" Target="http://www.avexproduct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