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8.6.2016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keepNext w:val="0"/>
        <w:keepLines w:val="0"/>
        <w:shd w:fill="ffffff" w:val="clear"/>
        <w:spacing w:after="240" w:before="0" w:line="313.04347826086956" w:lineRule="auto"/>
        <w:contextualSpacing w:val="0"/>
        <w:rPr>
          <w:b w:val="1"/>
          <w:sz w:val="36"/>
          <w:szCs w:val="36"/>
        </w:rPr>
      </w:pPr>
      <w:bookmarkStart w:colFirst="0" w:colLast="0" w:name="_89olperlgrxf" w:id="0"/>
      <w:bookmarkEnd w:id="0"/>
      <w:r w:rsidDel="00000000" w:rsidR="00000000" w:rsidRPr="00000000">
        <w:rPr>
          <w:b w:val="1"/>
          <w:sz w:val="36"/>
          <w:szCs w:val="36"/>
          <w:rtl w:val="0"/>
        </w:rPr>
        <w:t xml:space="preserve">INNOVATIVE COMPANY OF ZLIN REGION 2016</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pPr>
      <w:r w:rsidDel="00000000" w:rsidR="00000000" w:rsidRPr="00000000">
        <w:rPr>
          <w:rFonts w:ascii="Verdana" w:cs="Verdana" w:eastAsia="Verdana" w:hAnsi="Verdana"/>
          <w:i w:val="1"/>
          <w:sz w:val="21"/>
          <w:szCs w:val="21"/>
          <w:highlight w:val="white"/>
          <w:rtl w:val="0"/>
        </w:rPr>
        <w:t xml:space="preserve">"We announce the competition of Innovation Company of the Zlín Region every two years already since 2009. The fifth edition was held this year, which again showed that we have top companies in the region that, thanks to their creativity, knowledge and technical skills, not only on the domestic market but also on the foreign market, "said Stanislav Mišák, the head of the Zlín Region" . The organization of the competition is entrusted with the Technological Innovation Center, whose founder is the Zlín Region together with the Tomas Bata University. "The project aims to make visible successful and progressive companies in the region that, thanks to innovations, gain a great competitive advantage and succeed in enforcing demanding markets," says Daniel Sobieska, Director of Technological Innovation Center. Besides the companies themselves, the competition is also open to interest groups, for example, clusters that carry out specific innovation activities.</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left"/>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b w:val="1"/>
        </w:rPr>
      </w:pPr>
      <w:r w:rsidDel="00000000" w:rsidR="00000000" w:rsidRPr="00000000">
        <w:rPr>
          <w:rFonts w:ascii="Verdana" w:cs="Verdana" w:eastAsia="Verdana" w:hAnsi="Verdana"/>
          <w:b w:val="1"/>
          <w:sz w:val="21"/>
          <w:szCs w:val="21"/>
          <w:highlight w:val="white"/>
          <w:rtl w:val="0"/>
        </w:rPr>
        <w:t xml:space="preserve">Winner of the contest - Avex Steel Products s.r.o. (Otrokovice)</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Honorable Mention - MESIT aerospace, s.r.o. (Uherské Hradiště)</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Honorable Mention - TNS SERVIS s.r.o. (Slušovice)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Contest participants who have fought to the finals: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KOMA MODULAR s.r.o. (Vizovice)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Parzlich s.r.o. (Hulin)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color w:val="943634"/>
        <w:sz w:val="18"/>
        <w:szCs w:val="18"/>
      </w:rPr>
    </w:pPr>
    <w:r w:rsidDel="00000000" w:rsidR="00000000" w:rsidRPr="00000000">
      <w:rPr>
        <w:color w:val="943634"/>
        <w:sz w:val="18"/>
        <w:szCs w:val="18"/>
        <w:rtl w:val="0"/>
      </w:rPr>
      <w:t xml:space="preserve">Avex Steel Products s.r.o., tř. Tomáše Bati 1656, 76502 Otrokovice, Česká republika, tel.: +420 577 116 311, fax: +420 577 116 317, </w:t>
    </w:r>
    <w:hyperlink r:id="rId1">
      <w:r w:rsidDel="00000000" w:rsidR="00000000" w:rsidRPr="00000000">
        <w:rPr>
          <w:color w:val="980000"/>
          <w:sz w:val="18"/>
          <w:szCs w:val="18"/>
          <w:u w:val="single"/>
          <w:rtl w:val="0"/>
        </w:rPr>
        <w:t xml:space="preserve">info@avexproducts.com</w:t>
      </w:r>
    </w:hyperlink>
    <w:r w:rsidDel="00000000" w:rsidR="00000000" w:rsidRPr="00000000">
      <w:rPr>
        <w:color w:val="943634"/>
        <w:sz w:val="18"/>
        <w:szCs w:val="18"/>
        <w:rtl w:val="0"/>
      </w:rPr>
      <w:t xml:space="preserve">,</w:t>
    </w:r>
    <w:hyperlink r:id="rId2">
      <w:r w:rsidDel="00000000" w:rsidR="00000000" w:rsidRPr="00000000">
        <w:rPr>
          <w:color w:val="1155cc"/>
          <w:sz w:val="18"/>
          <w:szCs w:val="18"/>
          <w:u w:val="single"/>
          <w:rtl w:val="0"/>
        </w:rPr>
        <w:t xml:space="preserve"> </w:t>
      </w:r>
    </w:hyperlink>
    <w:hyperlink r:id="rId3">
      <w:r w:rsidDel="00000000" w:rsidR="00000000" w:rsidRPr="00000000">
        <w:rPr>
          <w:color w:val="a61c00"/>
          <w:sz w:val="18"/>
          <w:szCs w:val="18"/>
          <w:u w:val="single"/>
          <w:rtl w:val="0"/>
        </w:rPr>
        <w:t xml:space="preserve">www.avexproducts.com</w:t>
      </w:r>
    </w:hyperlink>
    <w:r w:rsidDel="00000000" w:rsidR="00000000" w:rsidRPr="00000000">
      <w:rPr>
        <w:color w:val="943634"/>
        <w:sz w:val="18"/>
        <w:szCs w:val="18"/>
        <w:rtl w:val="0"/>
      </w:rPr>
      <w:t xml:space="preserve">, IČ: 25303279, </w:t>
    </w:r>
  </w:p>
  <w:p w:rsidR="00000000" w:rsidDel="00000000" w:rsidP="00000000" w:rsidRDefault="00000000" w:rsidRPr="00000000">
    <w:pPr>
      <w:contextualSpacing w:val="0"/>
      <w:jc w:val="center"/>
      <w:rPr>
        <w:color w:val="943634"/>
        <w:sz w:val="18"/>
        <w:szCs w:val="18"/>
      </w:rPr>
    </w:pPr>
    <w:r w:rsidDel="00000000" w:rsidR="00000000" w:rsidRPr="00000000">
      <w:rPr>
        <w:color w:val="943634"/>
        <w:sz w:val="18"/>
        <w:szCs w:val="18"/>
        <w:rtl w:val="0"/>
      </w:rPr>
      <w:t xml:space="preserve">OR Krajského soudu v Brně – C23825, bankovní spojení: Citibank Europe, č.ú.: 2053870201/2600</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905000" cy="838200"/>
          <wp:effectExtent b="0" l="0" r="0" t="0"/>
          <wp:docPr descr="Avex_logo_web.png" id="1" name="image2.jpg"/>
          <a:graphic>
            <a:graphicData uri="http://schemas.openxmlformats.org/drawingml/2006/picture">
              <pic:pic>
                <pic:nvPicPr>
                  <pic:cNvPr descr="Avex_logo_web.png" id="0" name="image2.jpg"/>
                  <pic:cNvPicPr preferRelativeResize="0"/>
                </pic:nvPicPr>
                <pic:blipFill>
                  <a:blip r:embed="rId1"/>
                  <a:srcRect b="0" l="0" r="0" t="0"/>
                  <a:stretch>
                    <a:fillRect/>
                  </a:stretch>
                </pic:blipFill>
                <pic:spPr>
                  <a:xfrm>
                    <a:off x="0" y="0"/>
                    <a:ext cx="190500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vexproducts.com" TargetMode="External"/><Relationship Id="rId2" Type="http://schemas.openxmlformats.org/officeDocument/2006/relationships/hyperlink" Target="http://www.avexproducts.com" TargetMode="External"/><Relationship Id="rId3" Type="http://schemas.openxmlformats.org/officeDocument/2006/relationships/hyperlink" Target="http://www.avex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